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4EC32" w14:textId="47601BC2" w:rsidR="345BDABE" w:rsidRDefault="345BDABE" w:rsidP="345BDABE">
      <w:pPr>
        <w:spacing w:line="276" w:lineRule="auto"/>
        <w:rPr>
          <w:rFonts w:eastAsia="Arial" w:cs="Arial"/>
          <w:b/>
          <w:bCs/>
          <w:sz w:val="32"/>
          <w:szCs w:val="32"/>
        </w:rPr>
      </w:pPr>
      <w:r w:rsidRPr="345BDABE">
        <w:rPr>
          <w:rFonts w:eastAsia="Arial" w:cs="Arial"/>
          <w:b/>
          <w:bCs/>
          <w:sz w:val="32"/>
          <w:szCs w:val="32"/>
        </w:rPr>
        <w:t xml:space="preserve">Körber announces partnerships with Sequence Inc. and ProjectBinder to </w:t>
      </w:r>
      <w:r w:rsidR="0014322E">
        <w:rPr>
          <w:rFonts w:eastAsia="Arial" w:cs="Arial"/>
          <w:b/>
          <w:bCs/>
          <w:sz w:val="32"/>
          <w:szCs w:val="32"/>
        </w:rPr>
        <w:t>push</w:t>
      </w:r>
      <w:r w:rsidRPr="345BDABE">
        <w:rPr>
          <w:rFonts w:eastAsia="Arial" w:cs="Arial"/>
          <w:b/>
          <w:bCs/>
          <w:sz w:val="32"/>
          <w:szCs w:val="32"/>
        </w:rPr>
        <w:t xml:space="preserve"> data analytics </w:t>
      </w:r>
      <w:r w:rsidR="0014322E">
        <w:rPr>
          <w:rFonts w:eastAsia="Arial" w:cs="Arial"/>
          <w:b/>
          <w:bCs/>
          <w:sz w:val="32"/>
          <w:szCs w:val="32"/>
        </w:rPr>
        <w:t xml:space="preserve">further </w:t>
      </w:r>
      <w:r w:rsidRPr="345BDABE">
        <w:rPr>
          <w:rFonts w:eastAsia="Arial" w:cs="Arial"/>
          <w:b/>
          <w:bCs/>
          <w:sz w:val="32"/>
          <w:szCs w:val="32"/>
        </w:rPr>
        <w:t>in the life science industry</w:t>
      </w:r>
    </w:p>
    <w:p w14:paraId="12C029CE" w14:textId="20A0E444" w:rsidR="345BDABE" w:rsidRDefault="345BDABE"/>
    <w:p w14:paraId="1EA43B92" w14:textId="5CA57709" w:rsidR="345BDABE" w:rsidRDefault="00994B41" w:rsidP="345BDABE">
      <w:pPr>
        <w:spacing w:line="288" w:lineRule="auto"/>
      </w:pPr>
      <w:r>
        <w:rPr>
          <w:rFonts w:eastAsia="Arial" w:cs="Arial"/>
          <w:b/>
          <w:bCs/>
          <w:sz w:val="22"/>
          <w:szCs w:val="22"/>
        </w:rPr>
        <w:t>Lüneburg, Germany, 19</w:t>
      </w:r>
      <w:r w:rsidR="345BDABE" w:rsidRPr="345BDABE">
        <w:rPr>
          <w:rFonts w:eastAsia="Arial" w:cs="Arial"/>
          <w:b/>
          <w:bCs/>
          <w:sz w:val="22"/>
          <w:szCs w:val="22"/>
        </w:rPr>
        <w:t xml:space="preserve"> August 2022. Körber expands its Werum PAS-X Savvy partner network and announces new partnerships </w:t>
      </w:r>
      <w:r w:rsidR="00F93525">
        <w:rPr>
          <w:rFonts w:eastAsia="Arial" w:cs="Arial"/>
          <w:b/>
          <w:bCs/>
          <w:sz w:val="22"/>
          <w:szCs w:val="22"/>
        </w:rPr>
        <w:t xml:space="preserve">with Sequence and ProjectBinder, </w:t>
      </w:r>
      <w:r w:rsidR="00F93525" w:rsidRPr="00F93525">
        <w:rPr>
          <w:rFonts w:eastAsia="Arial" w:cs="Arial"/>
          <w:b/>
          <w:bCs/>
          <w:sz w:val="22"/>
          <w:szCs w:val="22"/>
        </w:rPr>
        <w:t>allowing customers worldwide to benefit from data analytics capabilities in the pharmaceutical and biotech industries.</w:t>
      </w:r>
    </w:p>
    <w:p w14:paraId="56C9D346" w14:textId="77777777" w:rsidR="00084631" w:rsidRDefault="00084631" w:rsidP="345BDABE">
      <w:pPr>
        <w:spacing w:line="276" w:lineRule="auto"/>
        <w:rPr>
          <w:rFonts w:eastAsia="Arial" w:cs="Arial"/>
          <w:sz w:val="22"/>
          <w:szCs w:val="22"/>
        </w:rPr>
      </w:pPr>
    </w:p>
    <w:p w14:paraId="3010EB33" w14:textId="0C460F2C" w:rsidR="345BDABE" w:rsidRDefault="009920B0" w:rsidP="345BDABE">
      <w:pPr>
        <w:spacing w:line="276" w:lineRule="auto"/>
        <w:rPr>
          <w:rFonts w:eastAsia="Arial" w:cs="Arial"/>
          <w:sz w:val="22"/>
          <w:szCs w:val="22"/>
        </w:rPr>
      </w:pPr>
      <w:r>
        <w:rPr>
          <w:rFonts w:eastAsia="Arial" w:cs="Arial"/>
          <w:sz w:val="22"/>
          <w:szCs w:val="22"/>
        </w:rPr>
        <w:t xml:space="preserve">Werum PAS-X Savvy is Körber’s collaborative data analytics platform </w:t>
      </w:r>
      <w:r w:rsidRPr="009920B0">
        <w:rPr>
          <w:rFonts w:eastAsia="Arial" w:cs="Arial"/>
          <w:sz w:val="22"/>
          <w:szCs w:val="22"/>
        </w:rPr>
        <w:t xml:space="preserve">that manages, visualizes and analyzes </w:t>
      </w:r>
      <w:r>
        <w:rPr>
          <w:rFonts w:eastAsia="Arial" w:cs="Arial"/>
          <w:sz w:val="22"/>
          <w:szCs w:val="22"/>
        </w:rPr>
        <w:t>pharma and biotech</w:t>
      </w:r>
      <w:r w:rsidRPr="009920B0">
        <w:rPr>
          <w:rFonts w:eastAsia="Arial" w:cs="Arial"/>
          <w:sz w:val="22"/>
          <w:szCs w:val="22"/>
        </w:rPr>
        <w:t xml:space="preserve"> data from different data sources, manufacturing sites and stages of the product life cycle and automates reporting.</w:t>
      </w:r>
      <w:r>
        <w:rPr>
          <w:rFonts w:eastAsia="Arial" w:cs="Arial"/>
          <w:sz w:val="22"/>
          <w:szCs w:val="22"/>
        </w:rPr>
        <w:t xml:space="preserve"> </w:t>
      </w:r>
      <w:r w:rsidR="345BDABE" w:rsidRPr="345BDABE">
        <w:rPr>
          <w:rFonts w:eastAsia="Arial" w:cs="Arial"/>
          <w:sz w:val="22"/>
          <w:szCs w:val="22"/>
        </w:rPr>
        <w:t xml:space="preserve">Sequence and ProjectBinder, </w:t>
      </w:r>
      <w:r w:rsidR="00C05401">
        <w:rPr>
          <w:rFonts w:eastAsia="Arial" w:cs="Arial"/>
          <w:sz w:val="22"/>
          <w:szCs w:val="22"/>
        </w:rPr>
        <w:t>two</w:t>
      </w:r>
      <w:r w:rsidR="345BDABE" w:rsidRPr="345BDABE">
        <w:rPr>
          <w:rFonts w:eastAsia="Arial" w:cs="Arial"/>
          <w:sz w:val="22"/>
          <w:szCs w:val="22"/>
        </w:rPr>
        <w:t xml:space="preserve"> renowned companies</w:t>
      </w:r>
      <w:r w:rsidR="00C05401">
        <w:rPr>
          <w:rFonts w:eastAsia="Arial" w:cs="Arial"/>
          <w:sz w:val="22"/>
          <w:szCs w:val="22"/>
        </w:rPr>
        <w:t xml:space="preserve"> providing comprehensive </w:t>
      </w:r>
      <w:r w:rsidR="00C05401" w:rsidRPr="00C05401">
        <w:rPr>
          <w:rFonts w:eastAsia="Arial" w:cs="Arial"/>
          <w:sz w:val="22"/>
          <w:szCs w:val="22"/>
        </w:rPr>
        <w:t xml:space="preserve">life science </w:t>
      </w:r>
      <w:r w:rsidR="00C05401">
        <w:rPr>
          <w:rFonts w:eastAsia="Arial" w:cs="Arial"/>
          <w:sz w:val="22"/>
          <w:szCs w:val="22"/>
        </w:rPr>
        <w:t>consulting</w:t>
      </w:r>
      <w:r w:rsidR="00C05401" w:rsidRPr="00C05401">
        <w:rPr>
          <w:rFonts w:eastAsia="Arial" w:cs="Arial"/>
          <w:sz w:val="22"/>
          <w:szCs w:val="22"/>
        </w:rPr>
        <w:t xml:space="preserve"> </w:t>
      </w:r>
      <w:r w:rsidR="00C05401">
        <w:rPr>
          <w:rFonts w:eastAsia="Arial" w:cs="Arial"/>
          <w:sz w:val="22"/>
          <w:szCs w:val="22"/>
        </w:rPr>
        <w:t>services</w:t>
      </w:r>
      <w:r w:rsidR="345BDABE" w:rsidRPr="345BDABE">
        <w:rPr>
          <w:rFonts w:eastAsia="Arial" w:cs="Arial"/>
          <w:sz w:val="22"/>
          <w:szCs w:val="22"/>
        </w:rPr>
        <w:t xml:space="preserve">, will now </w:t>
      </w:r>
      <w:r w:rsidR="00260AAD">
        <w:rPr>
          <w:rFonts w:eastAsia="Arial" w:cs="Arial"/>
          <w:sz w:val="22"/>
          <w:szCs w:val="22"/>
        </w:rPr>
        <w:t xml:space="preserve">actively </w:t>
      </w:r>
      <w:r w:rsidR="00F93525">
        <w:rPr>
          <w:rFonts w:eastAsia="Arial" w:cs="Arial"/>
          <w:sz w:val="22"/>
          <w:szCs w:val="22"/>
        </w:rPr>
        <w:t xml:space="preserve">consult customers on PAS-X Savvy. </w:t>
      </w:r>
      <w:r w:rsidR="00F93525" w:rsidRPr="00F93525">
        <w:rPr>
          <w:rFonts w:eastAsia="Arial" w:cs="Arial"/>
          <w:sz w:val="22"/>
          <w:szCs w:val="22"/>
        </w:rPr>
        <w:t xml:space="preserve">With Sequence's local presence in the U.S., Canada and Mexico and ProjectBinder's presence in the European region, customers benefit from local </w:t>
      </w:r>
      <w:r w:rsidR="00F93525">
        <w:rPr>
          <w:rFonts w:eastAsia="Arial" w:cs="Arial"/>
          <w:sz w:val="22"/>
          <w:szCs w:val="22"/>
        </w:rPr>
        <w:t>points of contact</w:t>
      </w:r>
      <w:r w:rsidR="00F93525" w:rsidRPr="00F93525">
        <w:rPr>
          <w:rFonts w:eastAsia="Arial" w:cs="Arial"/>
          <w:sz w:val="22"/>
          <w:szCs w:val="22"/>
        </w:rPr>
        <w:t>.</w:t>
      </w:r>
    </w:p>
    <w:p w14:paraId="1F0E4695" w14:textId="2B51D890" w:rsidR="345BDABE" w:rsidRPr="00F93525" w:rsidRDefault="345BDABE" w:rsidP="345BDABE">
      <w:pPr>
        <w:spacing w:line="276" w:lineRule="auto"/>
      </w:pPr>
    </w:p>
    <w:p w14:paraId="2ED56B87" w14:textId="029CA839" w:rsidR="345BDABE" w:rsidRDefault="00C05401" w:rsidP="345BDABE">
      <w:pPr>
        <w:spacing w:line="276" w:lineRule="auto"/>
      </w:pPr>
      <w:r>
        <w:rPr>
          <w:rFonts w:eastAsia="Arial" w:cs="Arial"/>
          <w:sz w:val="22"/>
          <w:szCs w:val="22"/>
        </w:rPr>
        <w:t>"</w:t>
      </w:r>
      <w:r w:rsidR="345BDABE" w:rsidRPr="345BDABE">
        <w:rPr>
          <w:rFonts w:eastAsia="Arial" w:cs="Arial"/>
          <w:sz w:val="22"/>
          <w:szCs w:val="22"/>
        </w:rPr>
        <w:t xml:space="preserve">We value the extensive local footprint of ProjectBinder and Sequence and greatly appreciate their long-standing experience and </w:t>
      </w:r>
      <w:r w:rsidR="003A0BC8">
        <w:rPr>
          <w:rFonts w:eastAsia="Arial" w:cs="Arial"/>
          <w:sz w:val="22"/>
          <w:szCs w:val="22"/>
        </w:rPr>
        <w:t>knowledge</w:t>
      </w:r>
      <w:r w:rsidR="345BDABE" w:rsidRPr="345BDABE">
        <w:rPr>
          <w:rFonts w:eastAsia="Arial" w:cs="Arial"/>
          <w:sz w:val="22"/>
          <w:szCs w:val="22"/>
        </w:rPr>
        <w:t xml:space="preserve"> in automation in the life science industry. We look forward to working closely with their teams </w:t>
      </w:r>
      <w:r>
        <w:rPr>
          <w:rFonts w:eastAsia="Arial" w:cs="Arial"/>
          <w:sz w:val="22"/>
          <w:szCs w:val="22"/>
        </w:rPr>
        <w:t>"</w:t>
      </w:r>
      <w:r w:rsidR="345BDABE" w:rsidRPr="345BDABE">
        <w:rPr>
          <w:rFonts w:eastAsia="Arial" w:cs="Arial"/>
          <w:sz w:val="22"/>
          <w:szCs w:val="22"/>
        </w:rPr>
        <w:t>, says Petra Lubitz, Director PAS-X Savvy, Körber Business Area Pharma.</w:t>
      </w:r>
    </w:p>
    <w:p w14:paraId="443EFAA3" w14:textId="77777777" w:rsidR="00D730DF" w:rsidRDefault="00D730DF" w:rsidP="345BDABE">
      <w:pPr>
        <w:spacing w:line="276" w:lineRule="auto"/>
      </w:pPr>
    </w:p>
    <w:p w14:paraId="36771489" w14:textId="77777777" w:rsidR="00994B41" w:rsidRDefault="00F240FE" w:rsidP="345BDABE">
      <w:pPr>
        <w:spacing w:line="276" w:lineRule="auto"/>
        <w:rPr>
          <w:rFonts w:eastAsia="Arial" w:cs="Arial"/>
          <w:sz w:val="22"/>
          <w:szCs w:val="22"/>
        </w:rPr>
      </w:pPr>
      <w:r>
        <w:rPr>
          <w:rFonts w:eastAsia="Arial" w:cs="Arial"/>
          <w:sz w:val="22"/>
          <w:szCs w:val="22"/>
        </w:rPr>
        <w:t>"</w:t>
      </w:r>
      <w:r w:rsidR="345BDABE" w:rsidRPr="2282DD77">
        <w:rPr>
          <w:rFonts w:eastAsia="Arial" w:cs="Arial"/>
          <w:sz w:val="22"/>
          <w:szCs w:val="22"/>
        </w:rPr>
        <w:t>We are looking forward to working with Körber and to achiev</w:t>
      </w:r>
      <w:r>
        <w:rPr>
          <w:rFonts w:eastAsia="Arial" w:cs="Arial"/>
          <w:sz w:val="22"/>
          <w:szCs w:val="22"/>
        </w:rPr>
        <w:t>ing</w:t>
      </w:r>
      <w:r w:rsidR="345BDABE" w:rsidRPr="2282DD77">
        <w:rPr>
          <w:rFonts w:eastAsia="Arial" w:cs="Arial"/>
          <w:sz w:val="22"/>
          <w:szCs w:val="22"/>
        </w:rPr>
        <w:t xml:space="preserve"> new milestones for our customers in the field of life science data analytics. PAS-X Savvy makes a significant contribution to accelerating the development of pharmaceuticals and ensuring the consistent quality of existing products,</w:t>
      </w:r>
      <w:r>
        <w:rPr>
          <w:rFonts w:eastAsia="Arial" w:cs="Arial"/>
          <w:sz w:val="22"/>
          <w:szCs w:val="22"/>
        </w:rPr>
        <w:t>"</w:t>
      </w:r>
      <w:r w:rsidR="345BDABE" w:rsidRPr="2282DD77">
        <w:rPr>
          <w:rFonts w:eastAsia="Arial" w:cs="Arial"/>
          <w:sz w:val="22"/>
          <w:szCs w:val="22"/>
        </w:rPr>
        <w:t xml:space="preserve"> says Jonathan Wood, Chief Revenue Officer at Sequence. David Gredal, MES Part</w:t>
      </w:r>
      <w:r w:rsidR="00591FD5">
        <w:rPr>
          <w:rFonts w:eastAsia="Arial" w:cs="Arial"/>
          <w:sz w:val="22"/>
          <w:szCs w:val="22"/>
        </w:rPr>
        <w:t>n</w:t>
      </w:r>
      <w:r w:rsidR="345BDABE" w:rsidRPr="2282DD77">
        <w:rPr>
          <w:rFonts w:eastAsia="Arial" w:cs="Arial"/>
          <w:sz w:val="22"/>
          <w:szCs w:val="22"/>
        </w:rPr>
        <w:t>er of ProjectBinder, adds, "With PAS-X Savvy, we now have a new tool in our portfolio that supports the digital transformation of pharma and biotech companies throughout the entire production lifecycle, from R&amp;D to scale-up and technology transfer to manufacturing. This way, we can accelerate time-to-market for our customers."</w:t>
      </w:r>
    </w:p>
    <w:p w14:paraId="08D281F6" w14:textId="29C27E83" w:rsidR="345BDABE" w:rsidRDefault="345BDABE" w:rsidP="345BDABE">
      <w:pPr>
        <w:spacing w:line="276" w:lineRule="auto"/>
        <w:rPr>
          <w:szCs w:val="24"/>
        </w:rPr>
      </w:pPr>
      <w:r>
        <w:rPr>
          <w:noProof/>
          <w:lang w:eastAsia="en-US"/>
        </w:rPr>
        <w:lastRenderedPageBreak/>
        <w:drawing>
          <wp:inline distT="0" distB="0" distL="0" distR="0" wp14:anchorId="50646493" wp14:editId="684F602D">
            <wp:extent cx="4572000" cy="2562225"/>
            <wp:effectExtent l="0" t="0" r="0" b="0"/>
            <wp:docPr id="335661877" name="Picture 33566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562225"/>
                    </a:xfrm>
                    <a:prstGeom prst="rect">
                      <a:avLst/>
                    </a:prstGeom>
                  </pic:spPr>
                </pic:pic>
              </a:graphicData>
            </a:graphic>
          </wp:inline>
        </w:drawing>
      </w:r>
    </w:p>
    <w:p w14:paraId="0E482D0A" w14:textId="3B111C14" w:rsidR="345BDABE" w:rsidRDefault="345BDABE" w:rsidP="345BDABE">
      <w:pPr>
        <w:spacing w:line="276" w:lineRule="auto"/>
      </w:pPr>
      <w:r w:rsidRPr="345BDABE">
        <w:rPr>
          <w:rFonts w:eastAsia="Arial" w:cs="Arial"/>
          <w:sz w:val="22"/>
          <w:szCs w:val="22"/>
        </w:rPr>
        <w:t xml:space="preserve"> </w:t>
      </w:r>
    </w:p>
    <w:p w14:paraId="11258F70" w14:textId="702FD012" w:rsidR="345BDABE" w:rsidRDefault="345BDABE" w:rsidP="345BDABE">
      <w:pPr>
        <w:spacing w:line="276" w:lineRule="auto"/>
      </w:pPr>
      <w:r w:rsidRPr="345BDABE">
        <w:rPr>
          <w:rFonts w:eastAsia="Arial" w:cs="Arial"/>
          <w:sz w:val="22"/>
          <w:szCs w:val="22"/>
        </w:rPr>
        <w:t xml:space="preserve"> </w:t>
      </w:r>
    </w:p>
    <w:p w14:paraId="43E9A10E" w14:textId="4BF90E2F" w:rsidR="345BDABE" w:rsidRDefault="345BDABE" w:rsidP="345BDABE">
      <w:pPr>
        <w:jc w:val="both"/>
      </w:pPr>
      <w:r w:rsidRPr="345BDABE">
        <w:rPr>
          <w:rFonts w:eastAsia="Arial" w:cs="Arial"/>
          <w:b/>
          <w:bCs/>
          <w:sz w:val="22"/>
          <w:szCs w:val="22"/>
        </w:rPr>
        <w:t>About Körber</w:t>
      </w:r>
    </w:p>
    <w:p w14:paraId="24B8BB10" w14:textId="3A47CC30" w:rsidR="345BDABE" w:rsidRDefault="345BDABE" w:rsidP="345BDABE">
      <w:pPr>
        <w:spacing w:line="276" w:lineRule="auto"/>
      </w:pPr>
      <w:r w:rsidRPr="345BDABE">
        <w:rPr>
          <w:rFonts w:eastAsia="Arial" w:cs="Arial"/>
          <w:sz w:val="22"/>
          <w:szCs w:val="22"/>
        </w:rPr>
        <w:t>Körber is an international technology group with about 12,000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01C056D8" w14:textId="353CDDA6" w:rsidR="345BDABE" w:rsidRDefault="345BDABE" w:rsidP="345BDABE">
      <w:pPr>
        <w:spacing w:line="276" w:lineRule="auto"/>
      </w:pPr>
      <w:r w:rsidRPr="345BDABE">
        <w:rPr>
          <w:rFonts w:eastAsia="Arial" w:cs="Arial"/>
          <w:sz w:val="22"/>
          <w:szCs w:val="22"/>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br/>
      </w:r>
      <w:r w:rsidRPr="345BDABE">
        <w:rPr>
          <w:rFonts w:eastAsia="Arial" w:cs="Arial"/>
          <w:sz w:val="22"/>
          <w:szCs w:val="22"/>
        </w:rPr>
        <w:t xml:space="preserve"> </w:t>
      </w:r>
      <w:hyperlink r:id="rId14">
        <w:r w:rsidRPr="345BDABE">
          <w:rPr>
            <w:rStyle w:val="Hyperlink"/>
            <w:rFonts w:eastAsia="Arial" w:cs="Arial"/>
            <w:sz w:val="22"/>
            <w:szCs w:val="22"/>
          </w:rPr>
          <w:t>www.koerber-pharma.com</w:t>
        </w:r>
      </w:hyperlink>
    </w:p>
    <w:p w14:paraId="7B28C2A8" w14:textId="184AE59D" w:rsidR="345BDABE" w:rsidRDefault="345BDABE">
      <w:r w:rsidRPr="345BDABE">
        <w:rPr>
          <w:rFonts w:eastAsia="Arial" w:cs="Arial"/>
          <w:color w:val="0060FF" w:themeColor="accent1"/>
          <w:sz w:val="22"/>
          <w:szCs w:val="22"/>
        </w:rPr>
        <w:t xml:space="preserve"> </w:t>
      </w:r>
    </w:p>
    <w:p w14:paraId="32F3A349" w14:textId="77777777" w:rsidR="00287445" w:rsidRPr="00287445" w:rsidRDefault="00287445" w:rsidP="00287445">
      <w:pPr>
        <w:rPr>
          <w:rFonts w:eastAsia="Arial" w:cs="Arial"/>
          <w:b/>
          <w:bCs/>
          <w:sz w:val="22"/>
          <w:szCs w:val="22"/>
        </w:rPr>
      </w:pPr>
      <w:r w:rsidRPr="00287445">
        <w:rPr>
          <w:rFonts w:eastAsia="Arial" w:cs="Arial"/>
          <w:b/>
          <w:bCs/>
          <w:sz w:val="22"/>
          <w:szCs w:val="22"/>
        </w:rPr>
        <w:t>About Sequence, Inc.</w:t>
      </w:r>
    </w:p>
    <w:p w14:paraId="5922FF35" w14:textId="77777777" w:rsidR="00287445" w:rsidRPr="00287445" w:rsidRDefault="00287445" w:rsidP="00287445">
      <w:pPr>
        <w:spacing w:line="276" w:lineRule="auto"/>
        <w:rPr>
          <w:rFonts w:eastAsia="Arial" w:cs="Arial"/>
          <w:bCs/>
          <w:sz w:val="22"/>
          <w:szCs w:val="22"/>
        </w:rPr>
      </w:pPr>
      <w:r w:rsidRPr="00287445">
        <w:rPr>
          <w:rFonts w:eastAsia="Arial" w:cs="Arial"/>
          <w:bCs/>
          <w:sz w:val="22"/>
          <w:szCs w:val="22"/>
        </w:rPr>
        <w:t>Sequence, Inc. provides customized support for biopharma companies to enhance the lives of other. Starting as a small computer validation consulting for the biopharma industry in 2002, Sequence has t</w:t>
      </w:r>
      <w:bookmarkStart w:id="0" w:name="_GoBack"/>
      <w:bookmarkEnd w:id="0"/>
      <w:r w:rsidRPr="00287445">
        <w:rPr>
          <w:rFonts w:eastAsia="Arial" w:cs="Arial"/>
          <w:bCs/>
          <w:sz w:val="22"/>
          <w:szCs w:val="22"/>
        </w:rPr>
        <w:t>ransformed into a fully comprehensive consulting organization that provides turnkey Commissioning, Qualification and Validation (CQV) and Digital Solutions for facilities, utilities, equipment, computerized systems and labs. While Sequence was born as a quality and compliance company, over the years they have become a full-service solutions provider through vast greenfield project experience, acquisitions and partnerships.</w:t>
      </w:r>
    </w:p>
    <w:p w14:paraId="6B851F75" w14:textId="5EC57B95" w:rsidR="00DB4D67" w:rsidRDefault="00706094" w:rsidP="00287445">
      <w:pPr>
        <w:spacing w:line="276" w:lineRule="auto"/>
      </w:pPr>
      <w:hyperlink r:id="rId15">
        <w:r w:rsidR="00DB4D67" w:rsidRPr="345BDABE">
          <w:rPr>
            <w:rStyle w:val="Hyperlink"/>
            <w:rFonts w:eastAsia="Arial" w:cs="Arial"/>
            <w:sz w:val="22"/>
            <w:szCs w:val="22"/>
          </w:rPr>
          <w:t>www.sequenceqcs.com</w:t>
        </w:r>
      </w:hyperlink>
      <w:r w:rsidR="00DB4D67" w:rsidRPr="345BDABE">
        <w:rPr>
          <w:rFonts w:eastAsia="Arial" w:cs="Arial"/>
          <w:sz w:val="22"/>
          <w:szCs w:val="22"/>
        </w:rPr>
        <w:t xml:space="preserve"> </w:t>
      </w:r>
    </w:p>
    <w:p w14:paraId="6FFABEE4" w14:textId="77777777" w:rsidR="00DB4D67" w:rsidRDefault="00DB4D67">
      <w:pPr>
        <w:rPr>
          <w:rFonts w:eastAsia="Arial" w:cs="Arial"/>
          <w:b/>
          <w:bCs/>
          <w:sz w:val="22"/>
          <w:szCs w:val="22"/>
        </w:rPr>
      </w:pPr>
    </w:p>
    <w:p w14:paraId="5274D74E" w14:textId="77777777" w:rsidR="00DB4D67" w:rsidRDefault="00DB4D67">
      <w:pPr>
        <w:rPr>
          <w:rFonts w:eastAsia="Arial" w:cs="Arial"/>
          <w:b/>
          <w:bCs/>
          <w:sz w:val="22"/>
          <w:szCs w:val="22"/>
        </w:rPr>
      </w:pPr>
    </w:p>
    <w:p w14:paraId="28982E75" w14:textId="100CB47D" w:rsidR="345BDABE" w:rsidRDefault="345BDABE">
      <w:r w:rsidRPr="345BDABE">
        <w:rPr>
          <w:rFonts w:eastAsia="Arial" w:cs="Arial"/>
          <w:b/>
          <w:bCs/>
          <w:sz w:val="22"/>
          <w:szCs w:val="22"/>
        </w:rPr>
        <w:t>About ProjectBinder</w:t>
      </w:r>
    </w:p>
    <w:p w14:paraId="33493822" w14:textId="266BA7F0" w:rsidR="345BDABE" w:rsidRDefault="345BDABE" w:rsidP="345BDABE">
      <w:pPr>
        <w:spacing w:line="276" w:lineRule="auto"/>
      </w:pPr>
      <w:r w:rsidRPr="345BDABE">
        <w:rPr>
          <w:rFonts w:eastAsia="Arial" w:cs="Arial"/>
          <w:sz w:val="22"/>
          <w:szCs w:val="22"/>
        </w:rPr>
        <w:t xml:space="preserve">ProjectBinder is a company specialized in manufacturing IT and automation in life science. They have a practical, lean, and integrated solution approach to deliver projects which fulfil specific needs. One of the specialties underlining this practical approach is to offer in-depth </w:t>
      </w:r>
      <w:r w:rsidRPr="345BDABE">
        <w:rPr>
          <w:rFonts w:eastAsia="Arial" w:cs="Arial"/>
          <w:sz w:val="22"/>
          <w:szCs w:val="22"/>
        </w:rPr>
        <w:lastRenderedPageBreak/>
        <w:t>surveys of existing installations to ensure continued stable backup of older installations. The working methodology is thus also practical as they focus on ensuring ongoing operation after solution implementation. The company is based in Denmark and Spain, operating worldwide which enables competitive solutions.</w:t>
      </w:r>
    </w:p>
    <w:p w14:paraId="183EEE33" w14:textId="466DAB94" w:rsidR="345BDABE" w:rsidRDefault="00706094" w:rsidP="345BDABE">
      <w:pPr>
        <w:spacing w:line="276" w:lineRule="auto"/>
      </w:pPr>
      <w:hyperlink r:id="rId16">
        <w:r w:rsidR="345BDABE" w:rsidRPr="345BDABE">
          <w:rPr>
            <w:rStyle w:val="Hyperlink"/>
            <w:rFonts w:eastAsia="Arial" w:cs="Arial"/>
            <w:sz w:val="22"/>
            <w:szCs w:val="22"/>
          </w:rPr>
          <w:t>www.projectbinder.eu</w:t>
        </w:r>
      </w:hyperlink>
      <w:r w:rsidR="345BDABE" w:rsidRPr="345BDABE">
        <w:rPr>
          <w:rFonts w:eastAsia="Arial" w:cs="Arial"/>
          <w:sz w:val="22"/>
          <w:szCs w:val="22"/>
        </w:rPr>
        <w:t xml:space="preserve"> </w:t>
      </w:r>
    </w:p>
    <w:p w14:paraId="7F4F499E" w14:textId="3F93D98A" w:rsidR="345BDABE" w:rsidRDefault="345BDABE" w:rsidP="345BDABE">
      <w:pPr>
        <w:spacing w:line="276" w:lineRule="auto"/>
      </w:pPr>
      <w:r w:rsidRPr="345BDABE">
        <w:rPr>
          <w:rFonts w:eastAsia="Arial" w:cs="Arial"/>
          <w:sz w:val="22"/>
          <w:szCs w:val="22"/>
        </w:rPr>
        <w:t xml:space="preserve"> </w:t>
      </w:r>
    </w:p>
    <w:p w14:paraId="7CA2BA80" w14:textId="223D2DC4" w:rsidR="345BDABE" w:rsidRDefault="345BDABE"/>
    <w:p w14:paraId="05EEC1A6" w14:textId="626C8261" w:rsidR="345BDABE" w:rsidRDefault="345BDABE">
      <w:r w:rsidRPr="345BDABE">
        <w:rPr>
          <w:rFonts w:eastAsia="Arial" w:cs="Arial"/>
          <w:b/>
          <w:bCs/>
          <w:sz w:val="22"/>
          <w:szCs w:val="22"/>
        </w:rPr>
        <w:t>Contact</w:t>
      </w:r>
    </w:p>
    <w:p w14:paraId="3858F3EC" w14:textId="020E6555" w:rsidR="345BDABE" w:rsidRDefault="345BDABE" w:rsidP="345BDABE">
      <w:pPr>
        <w:jc w:val="both"/>
      </w:pPr>
      <w:r w:rsidRPr="345BDABE">
        <w:rPr>
          <w:rFonts w:eastAsia="Arial" w:cs="Arial"/>
          <w:b/>
          <w:bCs/>
          <w:sz w:val="22"/>
          <w:szCs w:val="22"/>
        </w:rPr>
        <w:t>Dirk Ebbecke</w:t>
      </w:r>
    </w:p>
    <w:p w14:paraId="04D325AC" w14:textId="3466F9A1" w:rsidR="345BDABE" w:rsidRDefault="345BDABE" w:rsidP="345BDABE">
      <w:pPr>
        <w:jc w:val="both"/>
      </w:pPr>
      <w:r w:rsidRPr="345BDABE">
        <w:rPr>
          <w:rFonts w:eastAsia="Arial" w:cs="Arial"/>
          <w:sz w:val="22"/>
          <w:szCs w:val="22"/>
        </w:rPr>
        <w:t>Körber Business Area Pharma</w:t>
      </w:r>
    </w:p>
    <w:p w14:paraId="727A671A" w14:textId="5AF8163F" w:rsidR="345BDABE" w:rsidRDefault="345BDABE" w:rsidP="345BDABE">
      <w:pPr>
        <w:jc w:val="both"/>
      </w:pPr>
      <w:r w:rsidRPr="345BDABE">
        <w:rPr>
          <w:rFonts w:eastAsia="Arial" w:cs="Arial"/>
          <w:sz w:val="22"/>
          <w:szCs w:val="22"/>
        </w:rPr>
        <w:t xml:space="preserve">Head of Product Marketing </w:t>
      </w:r>
    </w:p>
    <w:p w14:paraId="4551C989" w14:textId="2D3029D2" w:rsidR="345BDABE" w:rsidRPr="00D730DF" w:rsidRDefault="345BDABE" w:rsidP="345BDABE">
      <w:pPr>
        <w:jc w:val="both"/>
        <w:rPr>
          <w:lang w:val="de-DE"/>
        </w:rPr>
      </w:pPr>
      <w:r w:rsidRPr="00D730DF">
        <w:rPr>
          <w:rFonts w:eastAsia="Arial" w:cs="Arial"/>
          <w:sz w:val="22"/>
          <w:szCs w:val="22"/>
          <w:lang w:val="de-DE"/>
        </w:rPr>
        <w:t>T: +49 4131 8900-0</w:t>
      </w:r>
    </w:p>
    <w:p w14:paraId="3285323B" w14:textId="0AC1932D" w:rsidR="345BDABE" w:rsidRPr="00084631" w:rsidRDefault="345BDABE" w:rsidP="345BDABE">
      <w:pPr>
        <w:jc w:val="both"/>
        <w:rPr>
          <w:lang w:val="de-DE"/>
        </w:rPr>
      </w:pPr>
      <w:r w:rsidRPr="345BDABE">
        <w:rPr>
          <w:rFonts w:eastAsia="Arial" w:cs="Arial"/>
          <w:sz w:val="22"/>
          <w:szCs w:val="22"/>
          <w:lang w:val="de"/>
        </w:rPr>
        <w:t xml:space="preserve">E-mail: </w:t>
      </w:r>
      <w:r w:rsidR="00084631">
        <w:rPr>
          <w:rFonts w:eastAsia="Arial" w:cs="Arial"/>
          <w:sz w:val="22"/>
          <w:szCs w:val="22"/>
          <w:lang w:val="de"/>
        </w:rPr>
        <w:t>d</w:t>
      </w:r>
      <w:r w:rsidR="00084631" w:rsidRPr="00084631">
        <w:rPr>
          <w:lang w:val="de-DE"/>
        </w:rPr>
        <w:t>irk.ebbecke@koerber.com</w:t>
      </w:r>
    </w:p>
    <w:p w14:paraId="604774B3" w14:textId="4C9CEC22" w:rsidR="345BDABE" w:rsidRPr="00441314" w:rsidRDefault="345BDABE" w:rsidP="345BDABE">
      <w:pPr>
        <w:spacing w:line="276" w:lineRule="auto"/>
        <w:jc w:val="both"/>
        <w:rPr>
          <w:lang w:val="de-DE"/>
        </w:rPr>
      </w:pPr>
    </w:p>
    <w:p w14:paraId="1C774228" w14:textId="77777777" w:rsidR="00DB4D67" w:rsidRDefault="00DB4D67" w:rsidP="00DB4D67">
      <w:r w:rsidRPr="345BDABE">
        <w:rPr>
          <w:rFonts w:eastAsia="Arial" w:cs="Arial"/>
          <w:b/>
          <w:bCs/>
          <w:color w:val="000000" w:themeColor="text1"/>
          <w:sz w:val="22"/>
          <w:szCs w:val="22"/>
        </w:rPr>
        <w:t>Julie Barberio</w:t>
      </w:r>
    </w:p>
    <w:p w14:paraId="2631A7F6" w14:textId="77777777" w:rsidR="00DB4D67" w:rsidRDefault="00DB4D67" w:rsidP="00DB4D67">
      <w:r w:rsidRPr="345BDABE">
        <w:rPr>
          <w:rFonts w:eastAsia="Arial" w:cs="Arial"/>
          <w:color w:val="000000" w:themeColor="text1"/>
          <w:sz w:val="22"/>
          <w:szCs w:val="22"/>
        </w:rPr>
        <w:t xml:space="preserve">Sequence Inc. </w:t>
      </w:r>
    </w:p>
    <w:p w14:paraId="5A056161" w14:textId="77777777" w:rsidR="00DB4D67" w:rsidRDefault="00DB4D67" w:rsidP="00DB4D67">
      <w:r w:rsidRPr="345BDABE">
        <w:rPr>
          <w:rFonts w:eastAsia="Arial" w:cs="Arial"/>
          <w:color w:val="000000" w:themeColor="text1"/>
          <w:sz w:val="22"/>
          <w:szCs w:val="22"/>
        </w:rPr>
        <w:t>Director of Marketing</w:t>
      </w:r>
    </w:p>
    <w:p w14:paraId="1B75BE5A" w14:textId="77777777" w:rsidR="00DB4D67" w:rsidRPr="00084631" w:rsidRDefault="00DB4D67" w:rsidP="00DB4D67">
      <w:pPr>
        <w:spacing w:line="276" w:lineRule="auto"/>
        <w:jc w:val="both"/>
        <w:rPr>
          <w:sz w:val="22"/>
          <w:szCs w:val="22"/>
          <w:lang w:val="de-DE"/>
        </w:rPr>
      </w:pPr>
      <w:r w:rsidRPr="00084631">
        <w:rPr>
          <w:sz w:val="22"/>
          <w:szCs w:val="22"/>
          <w:lang w:val="de-DE"/>
        </w:rPr>
        <w:t xml:space="preserve">T: +1 919 244-9531   </w:t>
      </w:r>
    </w:p>
    <w:p w14:paraId="0F143CB1" w14:textId="77777777" w:rsidR="00DB4D67" w:rsidRPr="00084631" w:rsidRDefault="00DB4D67" w:rsidP="00DB4D67">
      <w:pPr>
        <w:spacing w:line="276" w:lineRule="auto"/>
        <w:jc w:val="both"/>
        <w:rPr>
          <w:sz w:val="22"/>
          <w:szCs w:val="22"/>
          <w:lang w:val="de-DE"/>
        </w:rPr>
      </w:pPr>
      <w:r w:rsidRPr="00084631">
        <w:rPr>
          <w:sz w:val="22"/>
          <w:szCs w:val="22"/>
          <w:lang w:val="de-DE"/>
        </w:rPr>
        <w:t>E-mail: JBarberio@Sequenceqcs.com</w:t>
      </w:r>
    </w:p>
    <w:p w14:paraId="61FF462E" w14:textId="77777777" w:rsidR="00DB4D67" w:rsidRDefault="00DB4D67" w:rsidP="2282DD77">
      <w:pPr>
        <w:spacing w:line="276" w:lineRule="auto"/>
        <w:jc w:val="both"/>
        <w:rPr>
          <w:b/>
          <w:bCs/>
          <w:sz w:val="22"/>
          <w:szCs w:val="22"/>
          <w:lang w:val="de-DE"/>
        </w:rPr>
      </w:pPr>
    </w:p>
    <w:p w14:paraId="179C8465" w14:textId="0F9BAB17" w:rsidR="2282DD77" w:rsidRPr="00441314" w:rsidRDefault="2282DD77" w:rsidP="2282DD77">
      <w:pPr>
        <w:spacing w:line="276" w:lineRule="auto"/>
        <w:jc w:val="both"/>
        <w:rPr>
          <w:b/>
          <w:bCs/>
          <w:sz w:val="22"/>
          <w:szCs w:val="22"/>
          <w:lang w:val="de-DE"/>
        </w:rPr>
      </w:pPr>
      <w:r w:rsidRPr="00441314">
        <w:rPr>
          <w:b/>
          <w:bCs/>
          <w:sz w:val="22"/>
          <w:szCs w:val="22"/>
          <w:lang w:val="de-DE"/>
        </w:rPr>
        <w:t>David Gredal</w:t>
      </w:r>
    </w:p>
    <w:p w14:paraId="41DFD83D" w14:textId="1D84F540" w:rsidR="2282DD77" w:rsidRPr="00441314" w:rsidRDefault="2282DD77" w:rsidP="2282DD77">
      <w:pPr>
        <w:spacing w:line="276" w:lineRule="auto"/>
        <w:jc w:val="both"/>
        <w:rPr>
          <w:sz w:val="22"/>
          <w:szCs w:val="22"/>
          <w:lang w:val="de-DE"/>
        </w:rPr>
      </w:pPr>
      <w:r w:rsidRPr="00441314">
        <w:rPr>
          <w:sz w:val="22"/>
          <w:szCs w:val="22"/>
          <w:lang w:val="de-DE"/>
        </w:rPr>
        <w:t>ProjectBinder</w:t>
      </w:r>
    </w:p>
    <w:p w14:paraId="6EE72CBB" w14:textId="7546A9CB" w:rsidR="2282DD77" w:rsidRPr="00441314" w:rsidRDefault="2282DD77" w:rsidP="2282DD77">
      <w:pPr>
        <w:spacing w:line="276" w:lineRule="auto"/>
        <w:jc w:val="both"/>
        <w:rPr>
          <w:sz w:val="22"/>
          <w:szCs w:val="22"/>
          <w:lang w:val="de-DE"/>
        </w:rPr>
      </w:pPr>
      <w:r w:rsidRPr="00441314">
        <w:rPr>
          <w:sz w:val="22"/>
          <w:szCs w:val="22"/>
          <w:lang w:val="de-DE"/>
        </w:rPr>
        <w:t xml:space="preserve">MES Partner </w:t>
      </w:r>
    </w:p>
    <w:p w14:paraId="3B85452C" w14:textId="2C1563AB" w:rsidR="2282DD77" w:rsidRPr="00441314" w:rsidRDefault="2282DD77" w:rsidP="2282DD77">
      <w:pPr>
        <w:spacing w:line="276" w:lineRule="auto"/>
        <w:jc w:val="both"/>
        <w:rPr>
          <w:sz w:val="22"/>
          <w:szCs w:val="22"/>
          <w:lang w:val="de-DE"/>
        </w:rPr>
      </w:pPr>
      <w:r w:rsidRPr="00441314">
        <w:rPr>
          <w:sz w:val="22"/>
          <w:szCs w:val="22"/>
          <w:lang w:val="de-DE"/>
        </w:rPr>
        <w:t xml:space="preserve">T: </w:t>
      </w:r>
      <w:r w:rsidR="00084631" w:rsidRPr="00084631">
        <w:rPr>
          <w:sz w:val="22"/>
          <w:szCs w:val="22"/>
          <w:lang w:val="de-DE"/>
        </w:rPr>
        <w:t>+45 5376 5014</w:t>
      </w:r>
    </w:p>
    <w:p w14:paraId="3C62D0D4" w14:textId="62C28D13" w:rsidR="2282DD77" w:rsidRPr="00441314" w:rsidRDefault="2282DD77" w:rsidP="2282DD77">
      <w:pPr>
        <w:spacing w:line="276" w:lineRule="auto"/>
        <w:jc w:val="both"/>
        <w:rPr>
          <w:sz w:val="22"/>
          <w:szCs w:val="22"/>
          <w:lang w:val="de-DE"/>
        </w:rPr>
      </w:pPr>
      <w:r w:rsidRPr="00441314">
        <w:rPr>
          <w:sz w:val="22"/>
          <w:szCs w:val="22"/>
          <w:lang w:val="de-DE"/>
        </w:rPr>
        <w:t>E-Mail: david.gredal@projectbinder.eu</w:t>
      </w:r>
    </w:p>
    <w:p w14:paraId="66C3EDDB" w14:textId="4BD30F9A" w:rsidR="2282DD77" w:rsidRPr="00441314" w:rsidRDefault="2282DD77" w:rsidP="2282DD77">
      <w:pPr>
        <w:spacing w:line="276" w:lineRule="auto"/>
        <w:jc w:val="both"/>
        <w:rPr>
          <w:szCs w:val="24"/>
          <w:highlight w:val="yellow"/>
          <w:lang w:val="de-DE"/>
        </w:rPr>
      </w:pPr>
    </w:p>
    <w:p w14:paraId="47AFCCC1" w14:textId="67CBBC1E" w:rsidR="345BDABE" w:rsidRPr="00441314" w:rsidRDefault="345BDABE" w:rsidP="345BDABE">
      <w:pPr>
        <w:spacing w:line="276" w:lineRule="auto"/>
        <w:jc w:val="both"/>
        <w:rPr>
          <w:lang w:val="de-DE"/>
        </w:rPr>
      </w:pPr>
    </w:p>
    <w:p w14:paraId="3AC77F11" w14:textId="64BD3C3C" w:rsidR="345BDABE" w:rsidRDefault="345BDABE" w:rsidP="345BDABE">
      <w:pPr>
        <w:rPr>
          <w:rFonts w:eastAsia="Arial" w:cs="Arial"/>
          <w:sz w:val="22"/>
          <w:szCs w:val="22"/>
          <w:highlight w:val="yellow"/>
          <w:lang w:val="de"/>
        </w:rPr>
      </w:pPr>
    </w:p>
    <w:p w14:paraId="3C6A3058" w14:textId="153EACFF" w:rsidR="345BDABE" w:rsidRPr="00441314" w:rsidRDefault="345BDABE" w:rsidP="345BDABE">
      <w:pPr>
        <w:shd w:val="clear" w:color="auto" w:fill="FFFFFF" w:themeFill="background1"/>
        <w:spacing w:line="336" w:lineRule="auto"/>
        <w:rPr>
          <w:szCs w:val="24"/>
          <w:lang w:val="de-DE"/>
        </w:rPr>
      </w:pPr>
    </w:p>
    <w:sectPr w:rsidR="345BDABE" w:rsidRPr="00441314" w:rsidSect="00772C1A">
      <w:headerReference w:type="even" r:id="rId17"/>
      <w:headerReference w:type="default" r:id="rId18"/>
      <w:footerReference w:type="default" r:id="rId19"/>
      <w:headerReference w:type="first" r:id="rId20"/>
      <w:footerReference w:type="first" r:id="rId21"/>
      <w:type w:val="continuous"/>
      <w:pgSz w:w="11906" w:h="16838" w:code="9"/>
      <w:pgMar w:top="2041"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2D0B" w14:textId="77777777" w:rsidR="008969D4" w:rsidRDefault="008969D4">
      <w:r>
        <w:separator/>
      </w:r>
    </w:p>
  </w:endnote>
  <w:endnote w:type="continuationSeparator" w:id="0">
    <w:p w14:paraId="207A6B24" w14:textId="77777777" w:rsidR="008969D4" w:rsidRDefault="0089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0ACC" w14:textId="217D07CF" w:rsidR="00BA4B41" w:rsidRPr="00BA4B41" w:rsidRDefault="00BA4B41" w:rsidP="00BA4B41">
    <w:pPr>
      <w:pStyle w:val="Footer"/>
      <w:tabs>
        <w:tab w:val="clear" w:pos="4536"/>
        <w:tab w:val="clear" w:pos="9072"/>
        <w:tab w:val="center" w:pos="9070"/>
      </w:tabs>
      <w:rPr>
        <w:sz w:val="14"/>
        <w:szCs w:val="14"/>
      </w:rPr>
    </w:pPr>
    <w:r w:rsidRPr="00BA4B41">
      <w:rPr>
        <w:sz w:val="14"/>
        <w:szCs w:val="14"/>
      </w:rPr>
      <w:fldChar w:fldCharType="begin"/>
    </w:r>
    <w:r w:rsidRPr="00BA4B41">
      <w:rPr>
        <w:sz w:val="14"/>
        <w:szCs w:val="14"/>
      </w:rPr>
      <w:instrText xml:space="preserve"> FILENAME   \* MERGEFORMAT </w:instrText>
    </w:r>
    <w:r w:rsidRPr="00BA4B41">
      <w:rPr>
        <w:sz w:val="14"/>
        <w:szCs w:val="14"/>
      </w:rPr>
      <w:fldChar w:fldCharType="separate"/>
    </w:r>
    <w:r w:rsidR="00706094">
      <w:rPr>
        <w:sz w:val="14"/>
        <w:szCs w:val="14"/>
      </w:rPr>
      <w:t>KoerberPharmaSoftware_NR_PAS-XSavvy-Sequence-Binder_en_20220819</w:t>
    </w:r>
    <w:r w:rsidRPr="00BA4B41">
      <w:rPr>
        <w:sz w:val="14"/>
        <w:szCs w:val="14"/>
      </w:rPr>
      <w:fldChar w:fldCharType="end"/>
    </w:r>
    <w:r w:rsidRPr="00BA4B41">
      <w:rPr>
        <w:sz w:val="14"/>
        <w:szCs w:val="14"/>
      </w:rPr>
      <w:t xml:space="preserve"> &lt;Confidential&gt;</w:t>
    </w:r>
    <w:r w:rsidRPr="00BA4B41">
      <w:rPr>
        <w:sz w:val="14"/>
        <w:szCs w:val="14"/>
      </w:rPr>
      <w:tab/>
    </w:r>
    <w:r w:rsidRPr="00BA4B41">
      <w:rPr>
        <w:sz w:val="14"/>
        <w:szCs w:val="14"/>
      </w:rPr>
      <w:fldChar w:fldCharType="begin"/>
    </w:r>
    <w:r w:rsidRPr="00BA4B41">
      <w:rPr>
        <w:sz w:val="14"/>
        <w:szCs w:val="14"/>
      </w:rPr>
      <w:instrText xml:space="preserve"> PAGE   \* MERGEFORMAT </w:instrText>
    </w:r>
    <w:r w:rsidRPr="00BA4B41">
      <w:rPr>
        <w:sz w:val="14"/>
        <w:szCs w:val="14"/>
      </w:rPr>
      <w:fldChar w:fldCharType="separate"/>
    </w:r>
    <w:r w:rsidR="00706094" w:rsidRPr="00706094">
      <w:rPr>
        <w:szCs w:val="14"/>
      </w:rPr>
      <w:t>3</w:t>
    </w:r>
    <w:r w:rsidRPr="00BA4B41">
      <w:rPr>
        <w:sz w:val="14"/>
        <w:szCs w:val="14"/>
      </w:rPr>
      <w:fldChar w:fldCharType="end"/>
    </w:r>
    <w:r w:rsidRPr="00BA4B41">
      <w:rPr>
        <w:sz w:val="14"/>
        <w:szCs w:val="14"/>
      </w:rPr>
      <w:t>/</w:t>
    </w:r>
    <w:r w:rsidRPr="00BA4B41">
      <w:rPr>
        <w:noProof w:val="0"/>
        <w:sz w:val="14"/>
        <w:szCs w:val="14"/>
      </w:rPr>
      <w:fldChar w:fldCharType="begin"/>
    </w:r>
    <w:r w:rsidRPr="00BA4B41">
      <w:rPr>
        <w:sz w:val="14"/>
        <w:szCs w:val="14"/>
      </w:rPr>
      <w:instrText xml:space="preserve"> NUMPAGES   \* MERGEFORMAT </w:instrText>
    </w:r>
    <w:r w:rsidRPr="00BA4B41">
      <w:rPr>
        <w:noProof w:val="0"/>
        <w:sz w:val="14"/>
        <w:szCs w:val="14"/>
      </w:rPr>
      <w:fldChar w:fldCharType="separate"/>
    </w:r>
    <w:r w:rsidR="00706094" w:rsidRPr="00706094">
      <w:rPr>
        <w:szCs w:val="14"/>
      </w:rPr>
      <w:t>3</w:t>
    </w:r>
    <w:r w:rsidRPr="00BA4B41">
      <w:rPr>
        <w:sz w:val="14"/>
        <w:szCs w:val="14"/>
      </w:rPr>
      <w:fldChar w:fldCharType="end"/>
    </w:r>
  </w:p>
  <w:p w14:paraId="3DD70C73" w14:textId="048F13A1" w:rsidR="00BA4B41" w:rsidRPr="00BA4B41" w:rsidRDefault="00BA4B41" w:rsidP="00BA4B41">
    <w:pPr>
      <w:pStyle w:val="Footer"/>
      <w:rPr>
        <w:sz w:val="14"/>
        <w:szCs w:val="14"/>
      </w:rPr>
    </w:pPr>
    <w:r w:rsidRPr="00BA4B41">
      <w:rPr>
        <w:sz w:val="14"/>
        <w:szCs w:val="14"/>
      </w:rPr>
      <w:fldChar w:fldCharType="begin"/>
    </w:r>
    <w:r w:rsidRPr="00BA4B41">
      <w:rPr>
        <w:sz w:val="14"/>
        <w:szCs w:val="14"/>
      </w:rPr>
      <w:instrText xml:space="preserve"> DATE \@ "d MMMM yyyy" </w:instrText>
    </w:r>
    <w:r w:rsidRPr="00BA4B41">
      <w:rPr>
        <w:sz w:val="14"/>
        <w:szCs w:val="14"/>
      </w:rPr>
      <w:fldChar w:fldCharType="separate"/>
    </w:r>
    <w:r w:rsidR="00706094">
      <w:rPr>
        <w:sz w:val="14"/>
        <w:szCs w:val="14"/>
      </w:rPr>
      <w:t>18 August 2022</w:t>
    </w:r>
    <w:r w:rsidRPr="00BA4B41">
      <w:rPr>
        <w:sz w:val="14"/>
        <w:szCs w:val="14"/>
      </w:rPr>
      <w:fldChar w:fldCharType="end"/>
    </w:r>
  </w:p>
  <w:p w14:paraId="7E057788" w14:textId="77777777" w:rsidR="00421347" w:rsidRPr="00BA4B41" w:rsidRDefault="00BA4B41" w:rsidP="00BA4B41">
    <w:pPr>
      <w:pStyle w:val="Footer"/>
      <w:rPr>
        <w:color w:val="9D968D" w:themeColor="accent3"/>
        <w:sz w:val="14"/>
        <w:szCs w:val="14"/>
      </w:rPr>
    </w:pPr>
    <w:r w:rsidRPr="00BA4B41">
      <w:rPr>
        <w:color w:val="9D968D" w:themeColor="accent3"/>
        <w:sz w:val="14"/>
        <w:szCs w:val="14"/>
      </w:rPr>
      <w:t>Copyright © 202</w:t>
    </w:r>
    <w:r>
      <w:rPr>
        <w:color w:val="9D968D" w:themeColor="accent3"/>
        <w:sz w:val="14"/>
        <w:szCs w:val="14"/>
      </w:rPr>
      <w:t>2</w:t>
    </w:r>
    <w:r w:rsidRPr="00BA4B41">
      <w:rPr>
        <w:color w:val="9D968D" w:themeColor="accent3"/>
        <w:sz w:val="14"/>
        <w:szCs w:val="14"/>
      </w:rPr>
      <w:t xml:space="preserve"> Körber AG or its affiliates. All rights reserved. </w:t>
    </w:r>
    <w:r w:rsidRPr="00BA4B41">
      <w:rPr>
        <w:color w:val="9D968D" w:themeColor="accent3"/>
        <w:sz w:val="14"/>
        <w:szCs w:val="14"/>
      </w:rPr>
      <w:br/>
      <w:t xml:space="preserve">This document and all information therein are provided in confidence and may not be disclosed </w:t>
    </w:r>
    <w:r w:rsidRPr="00BA4B41">
      <w:rPr>
        <w:color w:val="9D968D" w:themeColor="accent3"/>
        <w:sz w:val="14"/>
        <w:szCs w:val="14"/>
      </w:rPr>
      <w:br/>
      <w:t>to any third party without the express written permission of the disclosing party.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82BC" w14:textId="66D0F2E0" w:rsidR="00BA4B41" w:rsidRPr="00BA4B41" w:rsidRDefault="00BA4B41" w:rsidP="00BA4B41">
    <w:pPr>
      <w:pStyle w:val="Footer"/>
      <w:tabs>
        <w:tab w:val="clear" w:pos="4536"/>
        <w:tab w:val="clear" w:pos="9072"/>
        <w:tab w:val="center" w:pos="9070"/>
      </w:tabs>
      <w:rPr>
        <w:sz w:val="14"/>
        <w:szCs w:val="14"/>
      </w:rPr>
    </w:pPr>
    <w:r w:rsidRPr="00BA4B41">
      <w:rPr>
        <w:sz w:val="14"/>
        <w:szCs w:val="14"/>
      </w:rPr>
      <w:fldChar w:fldCharType="begin"/>
    </w:r>
    <w:r w:rsidRPr="00BA4B41">
      <w:rPr>
        <w:sz w:val="14"/>
        <w:szCs w:val="14"/>
      </w:rPr>
      <w:instrText xml:space="preserve"> FILENAME   \* MERGEFORMAT </w:instrText>
    </w:r>
    <w:r w:rsidRPr="00BA4B41">
      <w:rPr>
        <w:sz w:val="14"/>
        <w:szCs w:val="14"/>
      </w:rPr>
      <w:fldChar w:fldCharType="separate"/>
    </w:r>
    <w:r w:rsidR="00706094">
      <w:rPr>
        <w:sz w:val="14"/>
        <w:szCs w:val="14"/>
      </w:rPr>
      <w:t>KoerberPharmaSoftware_NR_PAS-XSavvy-Sequence-Binder_en_20220819</w:t>
    </w:r>
    <w:r w:rsidRPr="00BA4B41">
      <w:rPr>
        <w:sz w:val="14"/>
        <w:szCs w:val="14"/>
      </w:rPr>
      <w:fldChar w:fldCharType="end"/>
    </w:r>
    <w:r w:rsidR="0064798F">
      <w:rPr>
        <w:sz w:val="14"/>
        <w:szCs w:val="14"/>
      </w:rPr>
      <w:t>,</w:t>
    </w:r>
    <w:r w:rsidRPr="00BA4B41">
      <w:rPr>
        <w:sz w:val="14"/>
        <w:szCs w:val="14"/>
      </w:rPr>
      <w:t xml:space="preserve"> &lt;Confidential&gt;</w:t>
    </w:r>
    <w:r w:rsidRPr="00BA4B41">
      <w:rPr>
        <w:sz w:val="14"/>
        <w:szCs w:val="14"/>
      </w:rPr>
      <w:tab/>
    </w:r>
    <w:r w:rsidRPr="00BA4B41">
      <w:rPr>
        <w:sz w:val="14"/>
        <w:szCs w:val="14"/>
      </w:rPr>
      <w:fldChar w:fldCharType="begin"/>
    </w:r>
    <w:r w:rsidRPr="00BA4B41">
      <w:rPr>
        <w:sz w:val="14"/>
        <w:szCs w:val="14"/>
      </w:rPr>
      <w:instrText xml:space="preserve"> PAGE   \* MERGEFORMAT </w:instrText>
    </w:r>
    <w:r w:rsidRPr="00BA4B41">
      <w:rPr>
        <w:sz w:val="14"/>
        <w:szCs w:val="14"/>
      </w:rPr>
      <w:fldChar w:fldCharType="separate"/>
    </w:r>
    <w:r w:rsidR="00706094" w:rsidRPr="00706094">
      <w:rPr>
        <w:szCs w:val="14"/>
      </w:rPr>
      <w:t>1</w:t>
    </w:r>
    <w:r w:rsidRPr="00BA4B41">
      <w:rPr>
        <w:sz w:val="14"/>
        <w:szCs w:val="14"/>
      </w:rPr>
      <w:fldChar w:fldCharType="end"/>
    </w:r>
    <w:r w:rsidRPr="00BA4B41">
      <w:rPr>
        <w:sz w:val="14"/>
        <w:szCs w:val="14"/>
      </w:rPr>
      <w:t>/</w:t>
    </w:r>
    <w:r w:rsidRPr="00BA4B41">
      <w:rPr>
        <w:noProof w:val="0"/>
        <w:sz w:val="14"/>
        <w:szCs w:val="14"/>
      </w:rPr>
      <w:fldChar w:fldCharType="begin"/>
    </w:r>
    <w:r w:rsidRPr="00BA4B41">
      <w:rPr>
        <w:sz w:val="14"/>
        <w:szCs w:val="14"/>
      </w:rPr>
      <w:instrText xml:space="preserve"> NUMPAGES   \* MERGEFORMAT </w:instrText>
    </w:r>
    <w:r w:rsidRPr="00BA4B41">
      <w:rPr>
        <w:noProof w:val="0"/>
        <w:sz w:val="14"/>
        <w:szCs w:val="14"/>
      </w:rPr>
      <w:fldChar w:fldCharType="separate"/>
    </w:r>
    <w:r w:rsidR="00706094" w:rsidRPr="00706094">
      <w:rPr>
        <w:szCs w:val="14"/>
      </w:rPr>
      <w:t>3</w:t>
    </w:r>
    <w:r w:rsidRPr="00BA4B41">
      <w:rPr>
        <w:sz w:val="14"/>
        <w:szCs w:val="14"/>
      </w:rPr>
      <w:fldChar w:fldCharType="end"/>
    </w:r>
  </w:p>
  <w:p w14:paraId="3A152217" w14:textId="2F24B2D2" w:rsidR="00BA4B41" w:rsidRPr="00BA4B41" w:rsidRDefault="00BA4B41" w:rsidP="00BA4B41">
    <w:pPr>
      <w:pStyle w:val="Footer"/>
      <w:rPr>
        <w:sz w:val="14"/>
        <w:szCs w:val="14"/>
      </w:rPr>
    </w:pPr>
    <w:r w:rsidRPr="00BA4B41">
      <w:rPr>
        <w:sz w:val="14"/>
        <w:szCs w:val="14"/>
      </w:rPr>
      <w:fldChar w:fldCharType="begin"/>
    </w:r>
    <w:r w:rsidRPr="00BA4B41">
      <w:rPr>
        <w:sz w:val="14"/>
        <w:szCs w:val="14"/>
      </w:rPr>
      <w:instrText xml:space="preserve"> DATE \@ "d MMMM yyyy" </w:instrText>
    </w:r>
    <w:r w:rsidRPr="00BA4B41">
      <w:rPr>
        <w:sz w:val="14"/>
        <w:szCs w:val="14"/>
      </w:rPr>
      <w:fldChar w:fldCharType="separate"/>
    </w:r>
    <w:r w:rsidR="00706094">
      <w:rPr>
        <w:sz w:val="14"/>
        <w:szCs w:val="14"/>
      </w:rPr>
      <w:t>18 August 2022</w:t>
    </w:r>
    <w:r w:rsidRPr="00BA4B41">
      <w:rPr>
        <w:sz w:val="14"/>
        <w:szCs w:val="14"/>
      </w:rPr>
      <w:fldChar w:fldCharType="end"/>
    </w:r>
  </w:p>
  <w:p w14:paraId="57C9A43F" w14:textId="77777777" w:rsidR="00651828" w:rsidRPr="00BA4B41" w:rsidRDefault="00BA4B41" w:rsidP="00BA4B41">
    <w:pPr>
      <w:pStyle w:val="Footer"/>
      <w:rPr>
        <w:color w:val="9D968D" w:themeColor="accent3"/>
        <w:sz w:val="14"/>
        <w:szCs w:val="14"/>
      </w:rPr>
    </w:pPr>
    <w:r w:rsidRPr="00BA4B41">
      <w:rPr>
        <w:color w:val="9D968D" w:themeColor="accent3"/>
        <w:sz w:val="14"/>
        <w:szCs w:val="14"/>
      </w:rPr>
      <w:t>Copyright © 202</w:t>
    </w:r>
    <w:r>
      <w:rPr>
        <w:color w:val="9D968D" w:themeColor="accent3"/>
        <w:sz w:val="14"/>
        <w:szCs w:val="14"/>
      </w:rPr>
      <w:t>2</w:t>
    </w:r>
    <w:r w:rsidRPr="00BA4B41">
      <w:rPr>
        <w:color w:val="9D968D" w:themeColor="accent3"/>
        <w:sz w:val="14"/>
        <w:szCs w:val="14"/>
      </w:rPr>
      <w:t xml:space="preserve"> Körber AG or its affiliates. All rights reserved. </w:t>
    </w:r>
    <w:r w:rsidRPr="00BA4B41">
      <w:rPr>
        <w:color w:val="9D968D" w:themeColor="accent3"/>
        <w:sz w:val="14"/>
        <w:szCs w:val="14"/>
      </w:rPr>
      <w:br/>
      <w:t xml:space="preserve">This document and all information therein are provided in confidence and may not be disclosed </w:t>
    </w:r>
    <w:r w:rsidRPr="00BA4B41">
      <w:rPr>
        <w:color w:val="9D968D" w:themeColor="accent3"/>
        <w:sz w:val="14"/>
        <w:szCs w:val="14"/>
      </w:rPr>
      <w:br/>
      <w:t>to any third party without the express written permission of the disclosing party.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4B70" w14:textId="77777777" w:rsidR="008969D4" w:rsidRDefault="008969D4">
      <w:r>
        <w:separator/>
      </w:r>
    </w:p>
  </w:footnote>
  <w:footnote w:type="continuationSeparator" w:id="0">
    <w:p w14:paraId="7FAA3BA2" w14:textId="77777777" w:rsidR="008969D4" w:rsidRDefault="0089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088B"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7B74" w14:textId="77777777" w:rsidR="004712E8" w:rsidRDefault="00BA4B41">
    <w:pPr>
      <w:pStyle w:val="Header"/>
    </w:pPr>
    <w:r w:rsidRPr="008B6727">
      <w:rPr>
        <w:spacing w:val="20"/>
        <w:sz w:val="40"/>
        <w:szCs w:val="40"/>
        <w:lang w:eastAsia="en-US"/>
      </w:rPr>
      <w:drawing>
        <wp:anchor distT="0" distB="0" distL="114300" distR="114300" simplePos="0" relativeHeight="251664384" behindDoc="1" locked="0" layoutInCell="1" allowOverlap="1" wp14:anchorId="4939D063" wp14:editId="49FC42CD">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55E" w14:textId="77777777" w:rsidR="00131F95" w:rsidRPr="00B43C58" w:rsidRDefault="008B6727" w:rsidP="00B43C58">
    <w:pPr>
      <w:pStyle w:val="Header"/>
      <w:jc w:val="right"/>
      <w:rPr>
        <w:color w:val="595959" w:themeColor="text1" w:themeTint="A6"/>
        <w:spacing w:val="20"/>
        <w:sz w:val="40"/>
        <w:szCs w:val="40"/>
      </w:rPr>
    </w:pPr>
    <w:r w:rsidRPr="008B6727">
      <w:rPr>
        <w:spacing w:val="20"/>
        <w:sz w:val="40"/>
        <w:szCs w:val="40"/>
        <w:lang w:eastAsia="en-US"/>
      </w:rPr>
      <w:drawing>
        <wp:anchor distT="0" distB="0" distL="114300" distR="114300" simplePos="0" relativeHeight="251662336" behindDoc="0" locked="0" layoutInCell="1" allowOverlap="1" wp14:anchorId="6D9B8E55" wp14:editId="03B0473F">
          <wp:simplePos x="0" y="0"/>
          <wp:positionH relativeFrom="margin">
            <wp:posOffset>-70436</wp:posOffset>
          </wp:positionH>
          <wp:positionV relativeFrom="page">
            <wp:posOffset>323557</wp:posOffset>
          </wp:positionV>
          <wp:extent cx="1101600" cy="648000"/>
          <wp:effectExtent l="0" t="0" r="381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B4"/>
    <w:rsid w:val="000119B9"/>
    <w:rsid w:val="000123DC"/>
    <w:rsid w:val="000127C0"/>
    <w:rsid w:val="0002401C"/>
    <w:rsid w:val="00025A5E"/>
    <w:rsid w:val="00044325"/>
    <w:rsid w:val="000501EE"/>
    <w:rsid w:val="00052F2C"/>
    <w:rsid w:val="0007065A"/>
    <w:rsid w:val="00084631"/>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3660"/>
    <w:rsid w:val="001269B9"/>
    <w:rsid w:val="00131F95"/>
    <w:rsid w:val="00132D80"/>
    <w:rsid w:val="0014322E"/>
    <w:rsid w:val="001559CE"/>
    <w:rsid w:val="00156874"/>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15A84"/>
    <w:rsid w:val="002228D1"/>
    <w:rsid w:val="00224B07"/>
    <w:rsid w:val="00225B4C"/>
    <w:rsid w:val="00225B87"/>
    <w:rsid w:val="00231277"/>
    <w:rsid w:val="0023519B"/>
    <w:rsid w:val="00237D0E"/>
    <w:rsid w:val="00241DD5"/>
    <w:rsid w:val="0024425A"/>
    <w:rsid w:val="002518D3"/>
    <w:rsid w:val="00251B0F"/>
    <w:rsid w:val="00252B89"/>
    <w:rsid w:val="00253260"/>
    <w:rsid w:val="00260AAD"/>
    <w:rsid w:val="00261712"/>
    <w:rsid w:val="002646F9"/>
    <w:rsid w:val="0028049E"/>
    <w:rsid w:val="00287445"/>
    <w:rsid w:val="00296A56"/>
    <w:rsid w:val="002F13AF"/>
    <w:rsid w:val="002F2CC6"/>
    <w:rsid w:val="002F61AB"/>
    <w:rsid w:val="0030275A"/>
    <w:rsid w:val="00306AF1"/>
    <w:rsid w:val="00312B79"/>
    <w:rsid w:val="00317242"/>
    <w:rsid w:val="003267F7"/>
    <w:rsid w:val="003323B1"/>
    <w:rsid w:val="00333730"/>
    <w:rsid w:val="0033640F"/>
    <w:rsid w:val="003409C6"/>
    <w:rsid w:val="00354E69"/>
    <w:rsid w:val="0035566F"/>
    <w:rsid w:val="003558C9"/>
    <w:rsid w:val="003631C6"/>
    <w:rsid w:val="00367F03"/>
    <w:rsid w:val="003750D6"/>
    <w:rsid w:val="00377648"/>
    <w:rsid w:val="00386FB2"/>
    <w:rsid w:val="00393CA5"/>
    <w:rsid w:val="00394622"/>
    <w:rsid w:val="003A0BC8"/>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36D25"/>
    <w:rsid w:val="00441314"/>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3B12"/>
    <w:rsid w:val="00576B3B"/>
    <w:rsid w:val="0058350B"/>
    <w:rsid w:val="00591616"/>
    <w:rsid w:val="00591FD5"/>
    <w:rsid w:val="005A4F2A"/>
    <w:rsid w:val="005C20AB"/>
    <w:rsid w:val="005E0E77"/>
    <w:rsid w:val="005F29F1"/>
    <w:rsid w:val="006029E3"/>
    <w:rsid w:val="00611AEC"/>
    <w:rsid w:val="00615216"/>
    <w:rsid w:val="00616B33"/>
    <w:rsid w:val="006224FA"/>
    <w:rsid w:val="0062598D"/>
    <w:rsid w:val="0064798F"/>
    <w:rsid w:val="0065030C"/>
    <w:rsid w:val="00651240"/>
    <w:rsid w:val="00651828"/>
    <w:rsid w:val="00655E28"/>
    <w:rsid w:val="006620D5"/>
    <w:rsid w:val="00671E96"/>
    <w:rsid w:val="00676101"/>
    <w:rsid w:val="00680C92"/>
    <w:rsid w:val="00681C86"/>
    <w:rsid w:val="00686616"/>
    <w:rsid w:val="00687A7A"/>
    <w:rsid w:val="006915A5"/>
    <w:rsid w:val="006A3F29"/>
    <w:rsid w:val="006D0DCF"/>
    <w:rsid w:val="006D4C7E"/>
    <w:rsid w:val="006D5FA4"/>
    <w:rsid w:val="006D7B47"/>
    <w:rsid w:val="00706094"/>
    <w:rsid w:val="00706615"/>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72C1A"/>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3413"/>
    <w:rsid w:val="008940E1"/>
    <w:rsid w:val="008969D4"/>
    <w:rsid w:val="008A5B4B"/>
    <w:rsid w:val="008B0A9B"/>
    <w:rsid w:val="008B2044"/>
    <w:rsid w:val="008B5F55"/>
    <w:rsid w:val="008B6727"/>
    <w:rsid w:val="008C4915"/>
    <w:rsid w:val="008C7D73"/>
    <w:rsid w:val="008D19EE"/>
    <w:rsid w:val="008D3C5F"/>
    <w:rsid w:val="009055E1"/>
    <w:rsid w:val="009114EC"/>
    <w:rsid w:val="00923B23"/>
    <w:rsid w:val="009267CD"/>
    <w:rsid w:val="00926A48"/>
    <w:rsid w:val="0092706B"/>
    <w:rsid w:val="00932502"/>
    <w:rsid w:val="0093268B"/>
    <w:rsid w:val="009367B5"/>
    <w:rsid w:val="00947913"/>
    <w:rsid w:val="009564D8"/>
    <w:rsid w:val="0096257B"/>
    <w:rsid w:val="00965B96"/>
    <w:rsid w:val="0098131A"/>
    <w:rsid w:val="0098382C"/>
    <w:rsid w:val="00984090"/>
    <w:rsid w:val="00986B7A"/>
    <w:rsid w:val="009920B0"/>
    <w:rsid w:val="00994B41"/>
    <w:rsid w:val="009B0742"/>
    <w:rsid w:val="009B440E"/>
    <w:rsid w:val="009C5B3D"/>
    <w:rsid w:val="009D1D1B"/>
    <w:rsid w:val="009D48A4"/>
    <w:rsid w:val="009D4A6F"/>
    <w:rsid w:val="009E097B"/>
    <w:rsid w:val="009F1350"/>
    <w:rsid w:val="00A01132"/>
    <w:rsid w:val="00A01DE1"/>
    <w:rsid w:val="00A249C1"/>
    <w:rsid w:val="00A264E4"/>
    <w:rsid w:val="00A31A4C"/>
    <w:rsid w:val="00A33313"/>
    <w:rsid w:val="00A3621D"/>
    <w:rsid w:val="00A41C4A"/>
    <w:rsid w:val="00A448C2"/>
    <w:rsid w:val="00A478E3"/>
    <w:rsid w:val="00A53E81"/>
    <w:rsid w:val="00A56C86"/>
    <w:rsid w:val="00A603D7"/>
    <w:rsid w:val="00A6436A"/>
    <w:rsid w:val="00A665AA"/>
    <w:rsid w:val="00A71A72"/>
    <w:rsid w:val="00A74CE1"/>
    <w:rsid w:val="00A840E6"/>
    <w:rsid w:val="00A858AA"/>
    <w:rsid w:val="00A93709"/>
    <w:rsid w:val="00A93C8F"/>
    <w:rsid w:val="00AA2C5E"/>
    <w:rsid w:val="00AB3654"/>
    <w:rsid w:val="00AC17CE"/>
    <w:rsid w:val="00AD70F8"/>
    <w:rsid w:val="00AD790A"/>
    <w:rsid w:val="00AE5A61"/>
    <w:rsid w:val="00AE7A09"/>
    <w:rsid w:val="00AF259F"/>
    <w:rsid w:val="00AF4BC8"/>
    <w:rsid w:val="00AF599D"/>
    <w:rsid w:val="00B03FB4"/>
    <w:rsid w:val="00B1218E"/>
    <w:rsid w:val="00B16CCF"/>
    <w:rsid w:val="00B24FF3"/>
    <w:rsid w:val="00B27821"/>
    <w:rsid w:val="00B3027B"/>
    <w:rsid w:val="00B350E8"/>
    <w:rsid w:val="00B3630A"/>
    <w:rsid w:val="00B43C58"/>
    <w:rsid w:val="00B57771"/>
    <w:rsid w:val="00B65E81"/>
    <w:rsid w:val="00B72819"/>
    <w:rsid w:val="00B7770B"/>
    <w:rsid w:val="00B9277C"/>
    <w:rsid w:val="00B97215"/>
    <w:rsid w:val="00BA24CE"/>
    <w:rsid w:val="00BA4B41"/>
    <w:rsid w:val="00BB3C58"/>
    <w:rsid w:val="00BC2B8E"/>
    <w:rsid w:val="00BC510D"/>
    <w:rsid w:val="00C01284"/>
    <w:rsid w:val="00C05401"/>
    <w:rsid w:val="00C05BB3"/>
    <w:rsid w:val="00C06E7E"/>
    <w:rsid w:val="00C07D05"/>
    <w:rsid w:val="00C109A2"/>
    <w:rsid w:val="00C26A6C"/>
    <w:rsid w:val="00C35759"/>
    <w:rsid w:val="00C37FAD"/>
    <w:rsid w:val="00C51928"/>
    <w:rsid w:val="00C777CC"/>
    <w:rsid w:val="00C914C7"/>
    <w:rsid w:val="00CA1E09"/>
    <w:rsid w:val="00CB4656"/>
    <w:rsid w:val="00CB4F2F"/>
    <w:rsid w:val="00CB738C"/>
    <w:rsid w:val="00CC7270"/>
    <w:rsid w:val="00CC771F"/>
    <w:rsid w:val="00CF6837"/>
    <w:rsid w:val="00D10C7D"/>
    <w:rsid w:val="00D113A6"/>
    <w:rsid w:val="00D13525"/>
    <w:rsid w:val="00D34A8A"/>
    <w:rsid w:val="00D46B62"/>
    <w:rsid w:val="00D55EB7"/>
    <w:rsid w:val="00D663B2"/>
    <w:rsid w:val="00D72498"/>
    <w:rsid w:val="00D724EA"/>
    <w:rsid w:val="00D730DF"/>
    <w:rsid w:val="00D75923"/>
    <w:rsid w:val="00D80237"/>
    <w:rsid w:val="00D83A39"/>
    <w:rsid w:val="00D85F74"/>
    <w:rsid w:val="00D87136"/>
    <w:rsid w:val="00D919F2"/>
    <w:rsid w:val="00D926A7"/>
    <w:rsid w:val="00D966C5"/>
    <w:rsid w:val="00DA4C69"/>
    <w:rsid w:val="00DB4D67"/>
    <w:rsid w:val="00DC5071"/>
    <w:rsid w:val="00DD05B6"/>
    <w:rsid w:val="00DE79D3"/>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E3E07"/>
    <w:rsid w:val="00EF1F3E"/>
    <w:rsid w:val="00EF3810"/>
    <w:rsid w:val="00F10216"/>
    <w:rsid w:val="00F133C9"/>
    <w:rsid w:val="00F138D9"/>
    <w:rsid w:val="00F240FE"/>
    <w:rsid w:val="00F42CD6"/>
    <w:rsid w:val="00F433AD"/>
    <w:rsid w:val="00F45111"/>
    <w:rsid w:val="00F56B4D"/>
    <w:rsid w:val="00F57A49"/>
    <w:rsid w:val="00F63A6B"/>
    <w:rsid w:val="00F82434"/>
    <w:rsid w:val="00F83283"/>
    <w:rsid w:val="00F86E16"/>
    <w:rsid w:val="00F908C6"/>
    <w:rsid w:val="00F93525"/>
    <w:rsid w:val="00F9512C"/>
    <w:rsid w:val="00F97515"/>
    <w:rsid w:val="00FA1E2C"/>
    <w:rsid w:val="00FA574D"/>
    <w:rsid w:val="00FB27E5"/>
    <w:rsid w:val="00FC0A81"/>
    <w:rsid w:val="00FD1F46"/>
    <w:rsid w:val="00FD523F"/>
    <w:rsid w:val="00FD6634"/>
    <w:rsid w:val="00FD7776"/>
    <w:rsid w:val="00FE018C"/>
    <w:rsid w:val="00FE0B53"/>
    <w:rsid w:val="00FE65D2"/>
    <w:rsid w:val="00FF15E6"/>
    <w:rsid w:val="00FF5291"/>
    <w:rsid w:val="146652C9"/>
    <w:rsid w:val="2282DD77"/>
    <w:rsid w:val="345BDABE"/>
    <w:rsid w:val="4418D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D4CE82"/>
  <w15:docId w15:val="{50B8D11A-BD13-4F0A-9A6E-F49609DB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lang w:val="en-US"/>
    </w:rPr>
  </w:style>
  <w:style w:type="paragraph" w:styleId="Heading1">
    <w:name w:val="heading 1"/>
    <w:basedOn w:val="Normal"/>
    <w:next w:val="Normal"/>
    <w:link w:val="Heading1Char"/>
    <w:uiPriority w:val="9"/>
    <w:qFormat/>
    <w:rsid w:val="00F93525"/>
    <w:pPr>
      <w:keepNext/>
      <w:keepLines/>
      <w:spacing w:before="240"/>
      <w:outlineLvl w:val="0"/>
    </w:pPr>
    <w:rPr>
      <w:rFonts w:asciiTheme="majorHAnsi" w:eastAsiaTheme="majorEastAsia" w:hAnsiTheme="majorHAnsi" w:cstheme="majorBidi"/>
      <w:color w:val="0047BF" w:themeColor="accent1" w:themeShade="BF"/>
      <w:sz w:val="32"/>
      <w:szCs w:val="32"/>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uiPriority w:val="99"/>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rPr>
      <w:lang w:val="en-US"/>
    </w:rPr>
  </w:style>
  <w:style w:type="character" w:customStyle="1" w:styleId="postbody">
    <w:name w:val="postbody"/>
    <w:basedOn w:val="DefaultParagraphFont"/>
    <w:rsid w:val="00194CF7"/>
    <w:rPr>
      <w:lang w:val="en-US"/>
    </w:rPr>
  </w:style>
  <w:style w:type="character" w:customStyle="1" w:styleId="HeaderChar">
    <w:name w:val="Header Char"/>
    <w:basedOn w:val="DefaultParagraphFont"/>
    <w:link w:val="Header"/>
    <w:rsid w:val="00AA2C5E"/>
    <w:rPr>
      <w:rFonts w:ascii="Arial" w:hAnsi="Arial" w:cs="Arial"/>
      <w:noProof/>
      <w:sz w:val="22"/>
      <w:szCs w:val="24"/>
      <w:lang w:val="en-US"/>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lang w:val="en-US"/>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lang w:val="en-US"/>
    </w:rPr>
  </w:style>
  <w:style w:type="character" w:styleId="Strong">
    <w:name w:val="Strong"/>
    <w:basedOn w:val="DefaultParagraphFont"/>
    <w:uiPriority w:val="22"/>
    <w:qFormat/>
    <w:rsid w:val="00CB738C"/>
    <w:rPr>
      <w:b/>
      <w:bCs/>
      <w:lang w:val="en-US"/>
    </w:rPr>
  </w:style>
  <w:style w:type="character" w:customStyle="1" w:styleId="Heading2Char">
    <w:name w:val="Heading 2 Char"/>
    <w:basedOn w:val="DefaultParagraphFont"/>
    <w:link w:val="Heading2"/>
    <w:rsid w:val="0035566F"/>
    <w:rPr>
      <w:rFonts w:ascii="Arial" w:hAnsi="Arial"/>
      <w:sz w:val="22"/>
      <w:lang w:val="en-US"/>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uiPriority w:val="99"/>
    <w:rsid w:val="003A6817"/>
    <w:rPr>
      <w:rFonts w:ascii="Arial" w:hAnsi="Arial" w:cs="Arial"/>
      <w:noProof/>
      <w:sz w:val="22"/>
      <w:szCs w:val="24"/>
      <w:lang w:val="en-US"/>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lang w:val="en-US"/>
    </w:rPr>
  </w:style>
  <w:style w:type="character" w:styleId="FollowedHyperlink">
    <w:name w:val="FollowedHyperlink"/>
    <w:basedOn w:val="DefaultParagraphFont"/>
    <w:uiPriority w:val="99"/>
    <w:semiHidden/>
    <w:unhideWhenUsed/>
    <w:rsid w:val="000123DC"/>
    <w:rPr>
      <w:color w:val="0060FF" w:themeColor="followedHyperlink"/>
      <w:u w:val="single"/>
      <w:lang w:val="en-US"/>
    </w:rPr>
  </w:style>
  <w:style w:type="paragraph" w:styleId="Revision">
    <w:name w:val="Revision"/>
    <w:hidden/>
    <w:uiPriority w:val="71"/>
    <w:semiHidden/>
    <w:rsid w:val="00B65E81"/>
    <w:rPr>
      <w:rFonts w:ascii="Arial" w:eastAsia="Times" w:hAnsi="Arial"/>
      <w:sz w:val="24"/>
      <w:lang w:val="en-US"/>
    </w:rPr>
  </w:style>
  <w:style w:type="character" w:styleId="CommentReference">
    <w:name w:val="annotation reference"/>
    <w:basedOn w:val="DefaultParagraphFont"/>
    <w:uiPriority w:val="99"/>
    <w:semiHidden/>
    <w:unhideWhenUsed/>
    <w:rsid w:val="00B65E81"/>
    <w:rPr>
      <w:sz w:val="16"/>
      <w:szCs w:val="16"/>
      <w:lang w:val="en-US"/>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lang w:val="en-US"/>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lang w:val="en-US"/>
    </w:rPr>
  </w:style>
  <w:style w:type="character" w:styleId="PlaceholderText">
    <w:name w:val="Placeholder Text"/>
    <w:basedOn w:val="DefaultParagraphFont"/>
    <w:uiPriority w:val="99"/>
    <w:unhideWhenUsed/>
    <w:rsid w:val="00123660"/>
    <w:rPr>
      <w:color w:val="808080"/>
      <w:lang w:val="en-US"/>
    </w:rPr>
  </w:style>
  <w:style w:type="paragraph" w:customStyle="1" w:styleId="Small">
    <w:name w:val="Small"/>
    <w:basedOn w:val="Normal"/>
    <w:qFormat/>
    <w:rsid w:val="00687A7A"/>
    <w:pPr>
      <w:spacing w:after="160" w:line="290" w:lineRule="auto"/>
    </w:pPr>
    <w:rPr>
      <w:rFonts w:eastAsia="Arial"/>
      <w:sz w:val="16"/>
    </w:rPr>
  </w:style>
  <w:style w:type="character" w:customStyle="1" w:styleId="Heading1Char">
    <w:name w:val="Heading 1 Char"/>
    <w:basedOn w:val="DefaultParagraphFont"/>
    <w:link w:val="Heading1"/>
    <w:uiPriority w:val="9"/>
    <w:rsid w:val="00F93525"/>
    <w:rPr>
      <w:rFonts w:asciiTheme="majorHAnsi" w:eastAsiaTheme="majorEastAsia" w:hAnsiTheme="majorHAnsi" w:cstheme="majorBidi"/>
      <w:color w:val="0047BF"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96428857">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0367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ojectbinder.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equenceqc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oerber-pharma.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94190-6b00-4667-af3e-e8947d67ed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BD4B2CB5DBB340A563E0D2C0EB2799" ma:contentTypeVersion="31" ma:contentTypeDescription="Ein neues Dokument erstellen." ma:contentTypeScope="" ma:versionID="837e5ed39981098d4fedfed1be9991da">
  <xsd:schema xmlns:xsd="http://www.w3.org/2001/XMLSchema" xmlns:xs="http://www.w3.org/2001/XMLSchema" xmlns:p="http://schemas.microsoft.com/office/2006/metadata/properties" xmlns:ns2="8ea1f6b9-a303-4941-b04d-1bde4d75660f" xmlns:ns3="ef4dd3f6-381e-4930-8903-d0e97135a788" xmlns:ns4="d9194190-6b00-4667-af3e-e8947d67ed7f" targetNamespace="http://schemas.microsoft.com/office/2006/metadata/properties" ma:root="true" ma:fieldsID="1436fe06ef5180d401fe386731eb024c" ns2:_="" ns3:_="" ns4:_="">
    <xsd:import namespace="8ea1f6b9-a303-4941-b04d-1bde4d75660f"/>
    <xsd:import namespace="ef4dd3f6-381e-4930-8903-d0e97135a788"/>
    <xsd:import namespace="d9194190-6b00-4667-af3e-e8947d67ed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1f6b9-a303-4941-b04d-1bde4d75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dd3f6-381e-4930-8903-d0e97135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94190-6b00-4667-af3e-e8947d67ed7f"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elementConfiguration":{"binding":"{{Form.Head}}","removeAndKeepContent":false,"disableUpdates":false,"type":"text"},"type":"richTextContentControl","id":"03e91b1b-f6e7-4945-af64-037021f88965"},{"elementConfiguration":{"binding":"{{FormatDateTime(Form.Date,\"dd MMM yyyy\",\"en-US\")}}","removeAndKeepContent":false,"disableUpdates":false,"type":"text"},"type":"richTextContentControl","id":"dafec61e-9b41-4774-a377-79553a994341"}],"transformationConfigurations":[{"language":"en-US","disableUpdates":false,"type":"proofingLanguage"}],"templateName":"Press release","templateDescription":"","enableDocumentContentUpdater":true,"version":"2.0"}]]></TemplafyTemplateConfiguration>
</file>

<file path=customXml/item4.xml><?xml version="1.0" encoding="utf-8"?>
<TemplafyFormConfiguration><![CDATA[{"formFields":[{"required":false,"placeholder":"Head","lines":1,"shareValue":false,"type":"textBox","name":"Head","label":"Head"},{"required":true,"shareValue":false,"type":"datePicker","name":"Date","label":"Date"}],"formDataEntries":[{"name":"Head","value":"2JMtS+kMTQf6kQNFkTqhabxl1xRAkwvGcdeSmNjhdEY="},{"name":"Date","value":"3zbXLd+vs1gCpA6yZl2W4Q=="}]}]]></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purl.org/dc/terms/"/>
    <ds:schemaRef ds:uri="d9194190-6b00-4667-af3e-e8947d67ed7f"/>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ef4dd3f6-381e-4930-8903-d0e97135a788"/>
    <ds:schemaRef ds:uri="http://schemas.openxmlformats.org/package/2006/metadata/core-properties"/>
    <ds:schemaRef ds:uri="8ea1f6b9-a303-4941-b04d-1bde4d75660f"/>
    <ds:schemaRef ds:uri="http://purl.org/dc/elements/1.1/"/>
  </ds:schemaRefs>
</ds:datastoreItem>
</file>

<file path=customXml/itemProps2.xml><?xml version="1.0" encoding="utf-8"?>
<ds:datastoreItem xmlns:ds="http://schemas.openxmlformats.org/officeDocument/2006/customXml" ds:itemID="{14AD83E1-CBDD-43D9-9389-0FD5A6F8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1f6b9-a303-4941-b04d-1bde4d75660f"/>
    <ds:schemaRef ds:uri="ef4dd3f6-381e-4930-8903-d0e97135a788"/>
    <ds:schemaRef ds:uri="d9194190-6b00-4667-af3e-e8947d67e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57409-D278-4971-8E3F-31CF5A6B5167}">
  <ds:schemaRefs/>
</ds:datastoreItem>
</file>

<file path=customXml/itemProps4.xml><?xml version="1.0" encoding="utf-8"?>
<ds:datastoreItem xmlns:ds="http://schemas.openxmlformats.org/officeDocument/2006/customXml" ds:itemID="{B37D1505-0B4D-40E8-B5E5-6371AC40265A}">
  <ds:schemaRefs/>
</ds:datastoreItem>
</file>

<file path=customXml/itemProps5.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6.xml><?xml version="1.0" encoding="utf-8"?>
<ds:datastoreItem xmlns:ds="http://schemas.openxmlformats.org/officeDocument/2006/customXml" ds:itemID="{884C0B8A-A059-47D2-83BD-89043EBA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630</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Manager/>
  <Company>Körber Pharma Software GmbH</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dc:description/>
  <cp:lastModifiedBy>Svea Focke</cp:lastModifiedBy>
  <cp:revision>20</cp:revision>
  <cp:lastPrinted>2022-08-18T14:05:00Z</cp:lastPrinted>
  <dcterms:created xsi:type="dcterms:W3CDTF">2022-08-01T06:57:00Z</dcterms:created>
  <dcterms:modified xsi:type="dcterms:W3CDTF">2022-08-18T14:05:00Z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0x0101003EBD4B2CB5DBB340A563E0D2C0EB2799</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